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6.0" w:type="dxa"/>
        <w:jc w:val="left"/>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9"/>
        <w:gridCol w:w="5374"/>
        <w:gridCol w:w="1512"/>
        <w:gridCol w:w="1331"/>
        <w:tblGridChange w:id="0">
          <w:tblGrid>
            <w:gridCol w:w="1709"/>
            <w:gridCol w:w="5374"/>
            <w:gridCol w:w="1512"/>
            <w:gridCol w:w="1331"/>
          </w:tblGrid>
        </w:tblGridChange>
      </w:tblGrid>
      <w:tr>
        <w:trPr>
          <w:cantSplit w:val="0"/>
          <w:trHeight w:val="62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48"/>
                <w:szCs w:val="48"/>
                <w:rtl w:val="0"/>
              </w:rPr>
              <w:t xml:space="preserve">Cleveland City Board of Education</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18"/>
                <w:szCs w:val="18"/>
                <w:rtl w:val="0"/>
              </w:rPr>
              <w:t xml:space="preserve">Review: Annually, in March</w:t>
            </w:r>
            <w:r w:rsidDel="00000000" w:rsidR="00000000" w:rsidRPr="00000000">
              <w:rPr>
                <w:rtl w:val="0"/>
              </w:rPr>
            </w:r>
          </w:p>
        </w:tc>
        <w:tc>
          <w:tcPr>
            <w:vMerge w:val="restart"/>
          </w:tcPr>
          <w:p w:rsidR="00000000" w:rsidDel="00000000" w:rsidP="00000000" w:rsidRDefault="00000000" w:rsidRPr="00000000" w14:paraId="00000008">
            <w:pPr>
              <w:spacing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Term:</w:t>
            </w:r>
          </w:p>
          <w:p w:rsidR="00000000" w:rsidDel="00000000" w:rsidP="00000000" w:rsidRDefault="00000000" w:rsidRPr="00000000" w14:paraId="00000009">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32"/>
                <w:szCs w:val="32"/>
                <w:rtl w:val="0"/>
              </w:rPr>
              <w:t xml:space="preserve">Student Goals</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6.100</w:t>
            </w:r>
          </w:p>
        </w:tc>
        <w:tc>
          <w:tcPr/>
          <w:p w:rsidR="00000000" w:rsidDel="00000000" w:rsidP="00000000" w:rsidRDefault="00000000" w:rsidRPr="00000000" w14:paraId="0000000C">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 </w:t>
            </w:r>
          </w:p>
        </w:tc>
      </w:tr>
      <w:tr>
        <w:trPr>
          <w:cantSplit w:val="0"/>
          <w:trHeight w:val="620"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6.100</w:t>
            </w:r>
          </w:p>
        </w:tc>
        <w:tc>
          <w:tcPr/>
          <w:p w:rsidR="00000000" w:rsidDel="00000000" w:rsidP="00000000" w:rsidRDefault="00000000" w:rsidRPr="00000000" w14:paraId="00000012">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sz w:val="20"/>
                <w:szCs w:val="20"/>
              </w:rPr>
            </w:pPr>
            <w:r w:rsidDel="00000000" w:rsidR="00000000" w:rsidRPr="00000000">
              <w:rPr>
                <w:color w:val="808080"/>
                <w:rtl w:val="0"/>
              </w:rPr>
              <w:t xml:space="preserve"> </w:t>
            </w:r>
            <w:r w:rsidDel="00000000" w:rsidR="00000000" w:rsidRPr="00000000">
              <w:rPr>
                <w:rtl w:val="0"/>
              </w:rPr>
            </w:r>
          </w:p>
        </w:tc>
      </w:tr>
    </w:tbl>
    <w:bookmarkStart w:colFirst="0" w:colLast="0" w:name="bookmark=id.sx1ynhu9pnau" w:id="0"/>
    <w:bookmarkEnd w:id="0"/>
    <w:p w:rsidR="00000000" w:rsidDel="00000000" w:rsidP="00000000" w:rsidRDefault="00000000" w:rsidRPr="00000000" w14:paraId="00000014">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 order to establish an environment that is conducive to learning, the Board establishes the following goals:</w:t>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 assure all students the same educational opportunities regardless of race, color, creed, religion, ethnic origin, disabilities, </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or sex. Sex shall be defined as the “immutable characteristics of the person’s reproductive system that identify the person as male or female, as determined by anatomy and genetics existing at the time of birth”;</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superscript"/>
          <w:rtl w:val="0"/>
        </w:rPr>
        <w:t xml:space="preserve">1</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 protect and observe the legal rights of students;</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70c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1"/>
          <w:sz w:val="22"/>
          <w:szCs w:val="22"/>
          <w:highlight w:val="white"/>
          <w:u w:val="none"/>
          <w:vertAlign w:val="baseline"/>
          <w:rtl w:val="0"/>
        </w:rPr>
        <w:t xml:space="preserve">To promote a learning environment which provides opportunities for all students without regard to race, creed, ethnic origin, sex or disabilities;</w:t>
      </w:r>
      <w:r w:rsidDel="00000000" w:rsidR="00000000" w:rsidRPr="00000000">
        <w:rPr>
          <w:rFonts w:ascii="Calibri" w:cs="Calibri" w:eastAsia="Calibri" w:hAnsi="Calibri"/>
          <w:b w:val="0"/>
          <w:bCs w:val="0"/>
          <w:i w:val="0"/>
          <w:iCs w:val="0"/>
          <w:smallCaps w:val="0"/>
          <w:strike w:val="0"/>
          <w:color w:val="ee0000"/>
          <w:sz w:val="22"/>
          <w:szCs w:val="22"/>
          <w:highlight w:val="white"/>
          <w:u w:val="none"/>
          <w:vertAlign w:val="baseline"/>
          <w:rtl w:val="0"/>
        </w:rPr>
        <w:t xml:space="preserve"> </w:t>
      </w:r>
      <w:r w:rsidDel="00000000" w:rsidR="00000000" w:rsidRPr="00000000">
        <w:rPr>
          <w:rFonts w:ascii="Calibri" w:cs="Calibri" w:eastAsia="Calibri" w:hAnsi="Calibri"/>
          <w:b w:val="0"/>
          <w:bCs w:val="0"/>
          <w:i w:val="0"/>
          <w:iCs w:val="0"/>
          <w:smallCaps w:val="0"/>
          <w:strike w:val="0"/>
          <w:color w:val="ee0000"/>
          <w:sz w:val="22"/>
          <w:szCs w:val="22"/>
          <w:u w:val="none"/>
          <w:shd w:fill="c6c6c6"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To educate students with respect and encouragement;</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70c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1"/>
          <w:sz w:val="22"/>
          <w:szCs w:val="22"/>
          <w:highlight w:val="white"/>
          <w:u w:val="none"/>
          <w:vertAlign w:val="baseline"/>
          <w:rtl w:val="0"/>
        </w:rPr>
        <w:t xml:space="preserve">To enhance the self-image of each student by helping him/her feel respected and worthy through a learning environment which provides positive encouragement from frequent success;</w:t>
      </w:r>
      <w:r w:rsidDel="00000000" w:rsidR="00000000" w:rsidRPr="00000000">
        <w:rPr>
          <w:rFonts w:ascii="Calibri" w:cs="Calibri" w:eastAsia="Calibri" w:hAnsi="Calibri"/>
          <w:b w:val="0"/>
          <w:bCs w:val="0"/>
          <w:i w:val="0"/>
          <w:iCs w:val="0"/>
          <w:smallCaps w:val="0"/>
          <w:strike w:val="0"/>
          <w:sz w:val="22"/>
          <w:szCs w:val="22"/>
          <w:highlight w:val="white"/>
          <w:u w:val="none"/>
          <w:vertAlign w:val="baseline"/>
          <w:rtl w:val="0"/>
        </w:rPr>
        <w:t xml:space="preserve"> </w:t>
      </w:r>
      <w:r w:rsidDel="00000000" w:rsidR="00000000" w:rsidRPr="00000000">
        <w:rPr>
          <w:rFonts w:ascii="Calibri" w:cs="Calibri" w:eastAsia="Calibri" w:hAnsi="Calibri"/>
          <w:b w:val="0"/>
          <w:bCs w:val="0"/>
          <w:i w:val="0"/>
          <w:iCs w:val="0"/>
          <w:smallCaps w:val="0"/>
          <w:strike w:val="0"/>
          <w:color w:val="ee0000"/>
          <w:sz w:val="22"/>
          <w:szCs w:val="22"/>
          <w:u w:val="none"/>
          <w:shd w:fill="c6c6c6"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To provide an environment where students can learn personal and civic responsibility for their actions through meaningful experiences;</w:t>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1"/>
          <w:sz w:val="24"/>
          <w:szCs w:val="24"/>
          <w:shd w:fill="auto" w:val="clear"/>
          <w:vertAlign w:val="baseline"/>
        </w:rPr>
      </w:pPr>
      <w:r w:rsidDel="00000000" w:rsidR="00000000" w:rsidRPr="00000000">
        <w:rPr>
          <w:rFonts w:ascii="Calibri" w:cs="Calibri" w:eastAsia="Calibri" w:hAnsi="Calibri"/>
          <w:b w:val="0"/>
          <w:bCs w:val="0"/>
          <w:i w:val="0"/>
          <w:iCs w:val="0"/>
          <w:smallCaps w:val="0"/>
          <w:strike w:val="1"/>
          <w:sz w:val="22"/>
          <w:szCs w:val="22"/>
          <w:highlight w:val="white"/>
          <w:u w:val="none"/>
          <w:vertAlign w:val="baseline"/>
          <w:rtl w:val="0"/>
        </w:rPr>
        <w:t xml:space="preserve">To provide an environment of reality in which students can learn personal and civic responsibility for their actions through meaningful experiences as school citizens; </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1"/>
          <w:sz w:val="24"/>
          <w:szCs w:val="24"/>
          <w:u w:val="none"/>
          <w:shd w:fill="auto" w:val="clear"/>
          <w:vertAlign w:val="baseline"/>
          <w:rtl w:val="0"/>
        </w:rPr>
        <w:t xml:space="preserve">To deal with students in matters of discipline in a fair and constructive manner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To discipline students in a fair and constructive manner;</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 provide for the safety, health, and welfare of students; and</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760" w:before="240" w:line="240" w:lineRule="auto"/>
        <w:ind w:left="720" w:right="0" w:hanging="360"/>
        <w:jc w:val="left"/>
        <w:rPr>
          <w:rFonts w:ascii="Times" w:cs="Times" w:eastAsia="Times" w:hAnsi="Times"/>
          <w:b w:val="0"/>
          <w:bCs w:val="0"/>
          <w:i w:val="0"/>
          <w:iCs w:val="0"/>
          <w:smallCaps w:val="0"/>
          <w:strike w:val="0"/>
          <w:color w:val="000000"/>
          <w:sz w:val="24"/>
          <w:szCs w:val="24"/>
          <w:u w:val="none"/>
          <w:shd w:fill="auto" w:val="clear"/>
          <w:vertAlign w:val="baseline"/>
        </w:rPr>
        <w:sectPr>
          <w:headerReference r:id="rId7" w:type="default"/>
          <w:footerReference r:id="rId8" w:type="default"/>
          <w:footerReference r:id="rId9" w:type="first"/>
          <w:pgSz w:h="15840" w:w="12240" w:orient="portrait"/>
          <w:pgMar w:bottom="1440" w:top="1440" w:left="1152" w:right="1152" w:header="720" w:footer="720"/>
          <w:lnNumType w:countBy="1" w:start="0" w:restart="newPage"/>
          <w:pgNumType w:start="1"/>
          <w:titlePg w:val="1"/>
        </w:sect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 promote faithful attendance and </w:t>
      </w:r>
      <w:r w:rsidDel="00000000" w:rsidR="00000000" w:rsidRPr="00000000">
        <w:rPr>
          <w:rFonts w:ascii="Times New Roman" w:cs="Times New Roman" w:eastAsia="Times New Roman" w:hAnsi="Times New Roman"/>
          <w:b w:val="0"/>
          <w:bCs w:val="0"/>
          <w:i w:val="0"/>
          <w:iCs w:val="0"/>
          <w:smallCaps w:val="0"/>
          <w:strike w:val="1"/>
          <w:sz w:val="24"/>
          <w:szCs w:val="24"/>
          <w:u w:val="none"/>
          <w:shd w:fill="auto" w:val="clear"/>
          <w:vertAlign w:val="baseline"/>
          <w:rtl w:val="0"/>
        </w:rPr>
        <w:t xml:space="preserve">good work</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diligent effort.</w:t>
      </w:r>
      <w:r w:rsidDel="00000000" w:rsidR="00000000" w:rsidRPr="00000000">
        <w:rPr>
          <w:rtl w:val="0"/>
        </w:rPr>
      </w:r>
    </w:p>
    <w:p w:rsidR="00000000" w:rsidDel="00000000" w:rsidP="00000000" w:rsidRDefault="00000000" w:rsidRPr="00000000" w14:paraId="0000001D">
      <w:pPr>
        <w:spacing w:after="0" w:before="240" w:line="240" w:lineRule="auto"/>
        <w:rPr>
          <w:rFonts w:ascii="Times" w:cs="Times" w:eastAsia="Times" w:hAnsi="Times"/>
          <w:color w:val="000000"/>
          <w:sz w:val="24"/>
          <w:szCs w:val="24"/>
        </w:rPr>
      </w:pPr>
      <w:r w:rsidDel="00000000" w:rsidR="00000000" w:rsidRPr="00000000">
        <w:rPr>
          <w:rtl w:val="0"/>
        </w:rPr>
      </w:r>
    </w:p>
    <w:tbl>
      <w:tblPr>
        <w:tblStyle w:val="Table2"/>
        <w:tblW w:w="9558.0" w:type="dxa"/>
        <w:jc w:val="left"/>
        <w:tblInd w:w="37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16"/>
        <w:gridCol w:w="4442"/>
        <w:tblGridChange w:id="0">
          <w:tblGrid>
            <w:gridCol w:w="5116"/>
            <w:gridCol w:w="4442"/>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1E">
            <w:pPr>
              <w:spacing w:before="240" w:lineRule="auto"/>
              <w:rPr>
                <w:rFonts w:ascii="Times New Roman" w:cs="Times New Roman" w:eastAsia="Times New Roman" w:hAnsi="Times New Roman"/>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1F">
            <w:pPr>
              <w:spacing w:before="240" w:lineRule="auto"/>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20">
            <w:pPr>
              <w:spacing w:before="120" w:lineRule="auto"/>
              <w:ind w:right="72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21">
            <w:pPr>
              <w:spacing w:before="12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Cross References</w:t>
            </w:r>
          </w:p>
        </w:tc>
      </w:tr>
      <w:tr>
        <w:trPr>
          <w:cantSplit w:val="0"/>
          <w:tblHeader w:val="0"/>
        </w:trPr>
        <w:tc>
          <w:tcPr/>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20 USCA § 1703</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49-6-3109</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hyperlink r:id="rId12">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Public Acts of 2026, Chapter No.</w:t>
              </w:r>
            </w:hyperlink>
            <w:hyperlink r:id="rId13">
              <w:r w:rsidDel="00000000" w:rsidR="00000000" w:rsidRPr="00000000">
                <w:rPr>
                  <w:rFonts w:ascii="Calibri" w:cs="Calibri" w:eastAsia="Calibri" w:hAnsi="Calibri"/>
                  <w:b w:val="0"/>
                  <w:bCs w:val="0"/>
                  <w:i w:val="0"/>
                  <w:iCs w:val="0"/>
                  <w:smallCaps w:val="0"/>
                  <w:strike w:val="0"/>
                  <w:color w:val="0000ff"/>
                  <w:sz w:val="22"/>
                  <w:szCs w:val="22"/>
                  <w:u w:val="single"/>
                  <w:shd w:fill="auto" w:val="clear"/>
                  <w:vertAlign w:val="baseline"/>
                  <w:rtl w:val="0"/>
                </w:rPr>
                <w:t xml:space="preserve"> </w:t>
              </w:r>
            </w:hyperlink>
            <w:hyperlink r:id="rId14">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938</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72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24">
            <w:pPr>
              <w:spacing w:before="24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School District Goals   1.700         </w:t>
              <w:br w:type="textWrapping"/>
              <w:t xml:space="preserve">Instructional Program   4.100  </w:t>
              <w:br w:type="textWrapping"/>
              <w:t xml:space="preserve">Student Discrimination, Harassment, Bullying, Cyber-bullying, and Intimidation  6.304</w:t>
            </w:r>
          </w:p>
        </w:tc>
      </w:tr>
    </w:tbl>
    <w:p w:rsidR="00000000" w:rsidDel="00000000" w:rsidP="00000000" w:rsidRDefault="00000000" w:rsidRPr="00000000" w14:paraId="00000025">
      <w:pPr>
        <w:spacing w:after="0" w:before="240" w:line="240" w:lineRule="auto"/>
        <w:rPr>
          <w:rFonts w:ascii="Times" w:cs="Times" w:eastAsia="Times" w:hAnsi="Times"/>
          <w:color w:val="000000"/>
          <w:sz w:val="24"/>
          <w:szCs w:val="24"/>
        </w:rPr>
      </w:pPr>
      <w:r w:rsidDel="00000000" w:rsidR="00000000" w:rsidRPr="00000000">
        <w:rPr>
          <w:rtl w:val="0"/>
        </w:rPr>
      </w:r>
    </w:p>
    <w:sectPr>
      <w:type w:val="continuous"/>
      <w:pgSz w:h="15840" w:w="12240" w:orient="portrait"/>
      <w:pgMar w:bottom="1440" w:top="1440" w:left="1152" w:right="1152" w:header="720" w:footer="720"/>
      <w:lnNumType w:countBy="1" w:start="0" w:restart="newPage"/>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July 9,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&lt;Policy Title&gt;</w:t>
      <w:tab/>
      <w:tab/>
      <w:t xml:space="preserve">&lt;Descriptor Code&gt;</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legal.tsba.net/state-statutes/t-c-a-%C2%A7-49-6-3109-unlawful-discrimination" TargetMode="External"/><Relationship Id="rId10" Type="http://schemas.openxmlformats.org/officeDocument/2006/relationships/hyperlink" Target="https://uscode.house.gov/view.xhtml?req=(title:20%20section:1703%20edition:prelim)%20OR%20(granuleid:USC-prelim-title20-section1703)&amp;f=treesort&amp;edition=prelim&amp;num=0&amp;jumpTo=true" TargetMode="External"/><Relationship Id="rId13" Type="http://schemas.openxmlformats.org/officeDocument/2006/relationships/hyperlink" Target="https://publications.tnsosfiles.com/acts/114/pub/pc0938.pdf" TargetMode="External"/><Relationship Id="rId12" Type="http://schemas.openxmlformats.org/officeDocument/2006/relationships/hyperlink" Target="https://publications.tnsosfiles.com/acts/114/pub/pc0938.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14" Type="http://schemas.openxmlformats.org/officeDocument/2006/relationships/hyperlink" Target="https://publications.tnsosfiles.com/acts/114/pub/pc0938.pdf"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FboTXCUMu/Mz3OfoJeJ5DKiJyg==">CgMxLjAyD2lkLnN4MXluaHU5cG5hdTgAciExTjdzenA4U1BoaTNXTlJHTE84TThQWHJpRk8yRUJHUUg=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